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377" w:rsidRDefault="00032377" w:rsidP="00032377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ЛЕКЦИЯ 10</w:t>
      </w:r>
    </w:p>
    <w:p w:rsidR="00032377" w:rsidRDefault="00032377" w:rsidP="00032377">
      <w:pPr>
        <w:jc w:val="center"/>
        <w:rPr>
          <w:bCs/>
          <w:sz w:val="28"/>
          <w:szCs w:val="28"/>
        </w:rPr>
      </w:pPr>
    </w:p>
    <w:p w:rsidR="00032377" w:rsidRPr="00271534" w:rsidRDefault="00032377" w:rsidP="00032377">
      <w:pPr>
        <w:jc w:val="center"/>
        <w:rPr>
          <w:bCs/>
          <w:sz w:val="28"/>
          <w:szCs w:val="28"/>
        </w:rPr>
      </w:pPr>
      <w:r w:rsidRPr="00271534">
        <w:rPr>
          <w:bCs/>
          <w:sz w:val="28"/>
          <w:szCs w:val="28"/>
        </w:rPr>
        <w:t>ОБЗОРНЫЕ ОБЩЕГЕОГРАФИЧЕСКИЕ КАРТЫ. ОСОБЕННОСТИ ОБЗОРНЫХ ОБЩЕГЕОГРАФИЧЕСКИХ КАРТ</w:t>
      </w:r>
    </w:p>
    <w:p w:rsidR="00032377" w:rsidRDefault="00032377" w:rsidP="00032377">
      <w:pPr>
        <w:shd w:val="clear" w:color="auto" w:fill="FFFFFF"/>
        <w:tabs>
          <w:tab w:val="left" w:pos="5573"/>
        </w:tabs>
        <w:ind w:left="5" w:firstLine="851"/>
        <w:jc w:val="center"/>
        <w:rPr>
          <w:b/>
          <w:color w:val="000000"/>
          <w:sz w:val="28"/>
          <w:szCs w:val="28"/>
        </w:rPr>
      </w:pPr>
    </w:p>
    <w:p w:rsidR="00032377" w:rsidRPr="007035D6" w:rsidRDefault="00032377" w:rsidP="00032377">
      <w:pPr>
        <w:shd w:val="clear" w:color="auto" w:fill="FFFFFF"/>
        <w:tabs>
          <w:tab w:val="left" w:pos="5573"/>
        </w:tabs>
        <w:ind w:left="5" w:firstLine="85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10.1</w:t>
      </w:r>
      <w:r w:rsidRPr="007035D6">
        <w:rPr>
          <w:b/>
          <w:color w:val="000000"/>
          <w:sz w:val="28"/>
          <w:szCs w:val="28"/>
        </w:rPr>
        <w:t xml:space="preserve"> Изображение населенных пунктов</w:t>
      </w:r>
    </w:p>
    <w:p w:rsidR="00032377" w:rsidRPr="000C58A1" w:rsidRDefault="00032377" w:rsidP="00032377">
      <w:pPr>
        <w:shd w:val="clear" w:color="auto" w:fill="FFFFFF"/>
        <w:tabs>
          <w:tab w:val="left" w:pos="5573"/>
        </w:tabs>
        <w:ind w:left="5" w:firstLine="851"/>
        <w:jc w:val="both"/>
        <w:rPr>
          <w:b/>
          <w:i/>
          <w:sz w:val="28"/>
          <w:szCs w:val="28"/>
        </w:rPr>
      </w:pPr>
    </w:p>
    <w:p w:rsidR="00032377" w:rsidRPr="000C58A1" w:rsidRDefault="00032377" w:rsidP="00032377">
      <w:pPr>
        <w:shd w:val="clear" w:color="auto" w:fill="FFFFFF"/>
        <w:ind w:right="130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Изображение населенных пунктов составляет важную часть содержания общегеографических карт. Многие населенные пункты </w:t>
      </w:r>
      <w:proofErr w:type="gramStart"/>
      <w:r w:rsidRPr="000C58A1">
        <w:rPr>
          <w:color w:val="000000"/>
          <w:sz w:val="28"/>
          <w:szCs w:val="28"/>
        </w:rPr>
        <w:t>—п</w:t>
      </w:r>
      <w:proofErr w:type="gramEnd"/>
      <w:r w:rsidRPr="000C58A1">
        <w:rPr>
          <w:color w:val="000000"/>
          <w:sz w:val="28"/>
          <w:szCs w:val="28"/>
        </w:rPr>
        <w:t xml:space="preserve">олитические, административные, экономические и культурные центры. </w:t>
      </w:r>
      <w:proofErr w:type="gramStart"/>
      <w:r w:rsidRPr="000C58A1">
        <w:rPr>
          <w:color w:val="000000"/>
          <w:sz w:val="28"/>
          <w:szCs w:val="28"/>
        </w:rPr>
        <w:t>(На картах стремятся по возможности полнее отразить особенности, присущие населенному пункту.</w:t>
      </w:r>
      <w:proofErr w:type="gramEnd"/>
      <w:r w:rsidRPr="000C58A1">
        <w:rPr>
          <w:color w:val="000000"/>
          <w:sz w:val="28"/>
          <w:szCs w:val="28"/>
        </w:rPr>
        <w:t xml:space="preserve"> Эта задача сравнительно легко разрешима на топографических картах </w:t>
      </w:r>
    </w:p>
    <w:p w:rsidR="00032377" w:rsidRPr="000C58A1" w:rsidRDefault="00032377" w:rsidP="00032377">
      <w:pPr>
        <w:shd w:val="clear" w:color="auto" w:fill="FFFFFF"/>
        <w:ind w:left="24" w:right="96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На обзорных картах отображение населенных пунктов затруднено. На них нет возможности показать город или селение как объект, занимающий на земной поверхности определенную территорию: Ведь масштаб площади карты, равный квадрату масштаба длины, уменьшается значительно быстрее последнего. Поэтому, например, на карте в масштабе 1</w:t>
      </w:r>
      <w:proofErr w:type="gramStart"/>
      <w:r w:rsidRPr="000C58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:</w:t>
      </w:r>
      <w:proofErr w:type="gramEnd"/>
      <w:r>
        <w:rPr>
          <w:color w:val="000000"/>
          <w:sz w:val="28"/>
          <w:szCs w:val="28"/>
        </w:rPr>
        <w:t xml:space="preserve"> 5 000 000 изображение Москвы - </w:t>
      </w:r>
      <w:r w:rsidRPr="000C58A1">
        <w:rPr>
          <w:color w:val="000000"/>
          <w:sz w:val="28"/>
          <w:szCs w:val="28"/>
        </w:rPr>
        <w:t>заняло бы лишь овальное пятнышко со средним диаметром всего около 6 мм.</w:t>
      </w:r>
    </w:p>
    <w:p w:rsidR="00032377" w:rsidRPr="000C58A1" w:rsidRDefault="00032377" w:rsidP="00032377">
      <w:pPr>
        <w:shd w:val="clear" w:color="auto" w:fill="FFFFFF"/>
        <w:ind w:left="53" w:right="86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Естественно, что на обзорных картах невозможно отображение особенностей планировки населенных пунктов или передача каких-либо внутренних территориальных различий их частей. На обзорных общегеографических картах населенные пункты обозначают условными знаками, размеры которых не выражают ни площади, ни формы территории, занятой городом или селением.</w:t>
      </w:r>
    </w:p>
    <w:p w:rsidR="00032377" w:rsidRPr="000C58A1" w:rsidRDefault="00032377" w:rsidP="00032377">
      <w:pPr>
        <w:shd w:val="clear" w:color="auto" w:fill="FFFFFF"/>
        <w:ind w:left="58" w:right="72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о картографическими средствами -</w:t>
      </w:r>
      <w:r w:rsidRPr="000C58A1">
        <w:rPr>
          <w:color w:val="000000"/>
          <w:sz w:val="28"/>
          <w:szCs w:val="28"/>
        </w:rPr>
        <w:t xml:space="preserve"> рисунком и размером условного знака, подписью названия, иногда цветом </w:t>
      </w:r>
      <w:r>
        <w:rPr>
          <w:color w:val="000000"/>
          <w:sz w:val="28"/>
          <w:szCs w:val="28"/>
        </w:rPr>
        <w:t>-</w:t>
      </w:r>
      <w:r w:rsidRPr="000C58A1">
        <w:rPr>
          <w:color w:val="000000"/>
          <w:sz w:val="28"/>
          <w:szCs w:val="28"/>
        </w:rPr>
        <w:t xml:space="preserve"> удается и на мелкомасштабных картах представить разностороннюю характеристику населенных пунктов.</w:t>
      </w:r>
    </w:p>
    <w:p w:rsidR="00032377" w:rsidRPr="000C58A1" w:rsidRDefault="00032377" w:rsidP="00032377">
      <w:pPr>
        <w:shd w:val="clear" w:color="auto" w:fill="FFFFFF"/>
        <w:ind w:left="77" w:right="43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Условные знаки населенных пунктов на обзорных картах, как правило, имеют форму кружков, называемых пунсонами. Размером и рисунком пунсонов на картах обозначается либо число жителей, либо тип населенных пунктов, либо их административное значение. Указанные графические особенности могут на одной и той же карте характеризовать не одно, а два, а то и три перечисленных качества населенных пунктов. Например, кружки меньшего размера могут символизировать сельские насе</w:t>
      </w:r>
      <w:r>
        <w:rPr>
          <w:color w:val="000000"/>
          <w:sz w:val="28"/>
          <w:szCs w:val="28"/>
        </w:rPr>
        <w:t>ленные пункты, а более крупные -</w:t>
      </w:r>
      <w:r w:rsidRPr="000C58A1">
        <w:rPr>
          <w:color w:val="000000"/>
          <w:sz w:val="28"/>
          <w:szCs w:val="28"/>
        </w:rPr>
        <w:t xml:space="preserve"> города, причем в той и другой группе поселений рисунком пунсона могут быть выделены по нескольку групп, различающихся числом жителей.</w:t>
      </w:r>
    </w:p>
    <w:p w:rsidR="00032377" w:rsidRPr="000C58A1" w:rsidRDefault="00032377" w:rsidP="00032377">
      <w:pPr>
        <w:shd w:val="clear" w:color="auto" w:fill="FFFFFF"/>
        <w:ind w:left="2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Подписи названий населенных пунктов также выполняют многообразные функции. Помимо своего непосредственного назначения — указания собственного географического названия города или села, подпись может свидетельствовать о типе населенного пункта или о его населенности. Достигается это варьированием размера надписи и ее рисунка (типа шрифта) у разных групп населенных пунктов Их политико-административное </w:t>
      </w:r>
      <w:r w:rsidRPr="000C58A1">
        <w:rPr>
          <w:color w:val="000000"/>
          <w:sz w:val="28"/>
          <w:szCs w:val="28"/>
        </w:rPr>
        <w:lastRenderedPageBreak/>
        <w:t>значение часто показывают определенной формой подписи и подчеркиванием сплошной или пунктирной линией. В других случаях политико-административные центры разного ранга обозначаются определенным шрифтом названия. Иногда на мелкомасштабных картах пунсоны столиц выделяют окраской того или иного цвета. Перед использованием конкретной карты следует по ее легенде внимательно ознакомиться с тем, какое значение на ней придается форме пунсонов, шрифту, использованному для  подписей населенных пунктов, и др.</w:t>
      </w:r>
    </w:p>
    <w:p w:rsidR="00032377" w:rsidRPr="000C58A1" w:rsidRDefault="00032377" w:rsidP="00032377">
      <w:pPr>
        <w:shd w:val="clear" w:color="auto" w:fill="FFFFFF"/>
        <w:ind w:left="29" w:right="5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Размещая пунсон на карте, стремятся географически правдоподобно передать особенности расположения населенного пункта на местности. Поэтому по положению пунсона на карте можно узнать: находится ли город на самом берегу моря или озера или он отстоит от берега на каком-то расстоянии; на каком из берегов протекающей по местности реки он раскинулся и </w:t>
      </w:r>
      <w:proofErr w:type="spellStart"/>
      <w:r w:rsidRPr="000C58A1">
        <w:rPr>
          <w:color w:val="000000"/>
          <w:sz w:val="28"/>
          <w:szCs w:val="28"/>
        </w:rPr>
        <w:t>т</w:t>
      </w:r>
      <w:proofErr w:type="gramStart"/>
      <w:r w:rsidRPr="000C58A1">
        <w:rPr>
          <w:color w:val="000000"/>
          <w:sz w:val="28"/>
          <w:szCs w:val="28"/>
        </w:rPr>
        <w:t>.д</w:t>
      </w:r>
      <w:proofErr w:type="spellEnd"/>
      <w:proofErr w:type="gramEnd"/>
      <w:r w:rsidRPr="000C58A1">
        <w:rPr>
          <w:color w:val="000000"/>
          <w:sz w:val="28"/>
          <w:szCs w:val="28"/>
        </w:rPr>
        <w:t>)</w:t>
      </w:r>
    </w:p>
    <w:p w:rsidR="00032377" w:rsidRPr="000C58A1" w:rsidRDefault="00032377" w:rsidP="00032377">
      <w:pPr>
        <w:shd w:val="clear" w:color="auto" w:fill="FFFFFF"/>
        <w:ind w:left="10" w:right="1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Таким образом, внимательное изучение конкретного населенного пункта, обозначенного на обзорной карте, может дать о нем немало сведений, хотя в целом его характеристика менее разнообразна по сравнению с той, какую дает топографическая карта.</w:t>
      </w:r>
    </w:p>
    <w:p w:rsidR="00032377" w:rsidRPr="000C58A1" w:rsidRDefault="00032377" w:rsidP="00032377">
      <w:pPr>
        <w:shd w:val="clear" w:color="auto" w:fill="FFFFFF"/>
        <w:ind w:left="10" w:right="1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Существенное различие между картами обзорными и крупномасштабными в отношении показа населенных пунктов заключается еще в том, что на мелкомасштабных картах в результате значительной генерализации большое число населенных пунктов совсем не показываются. Естественно, что с уменьшением масштаба карт «исчезают» сначала менее значительные населенные пункты, а затем и некоторые более важные. Значение населенных пунктов при отборе определяют по нескольким признакам. В первую очередь принимают во внимание их политико-административное значение, количество жителей и экономическое значение. Учитывают также особенности географического положения и культурно-историческое значение.</w:t>
      </w:r>
    </w:p>
    <w:p w:rsidR="00032377" w:rsidRPr="00564DA1" w:rsidRDefault="00032377" w:rsidP="00032377">
      <w:pPr>
        <w:shd w:val="clear" w:color="auto" w:fill="FFFFFF"/>
        <w:ind w:left="108" w:right="17"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Известно, что населенные пункты в зависимости от числа жителей в них и от рода занятия населения подразделяются на различные типы. Города и другие поселения городского типа имеют в жизни стран большое административно-политическое значение и представляют собой, как правило, более важные центры духовной жизни населения, чем отдельные селения. Поэтому при отборе населённых пунктов нередко именно тип населённого пункта принимается за важнейший признак.</w:t>
      </w:r>
    </w:p>
    <w:p w:rsidR="00032377" w:rsidRPr="000C58A1" w:rsidRDefault="00032377" w:rsidP="00032377">
      <w:pPr>
        <w:shd w:val="clear" w:color="auto" w:fill="FFFFFF"/>
        <w:ind w:right="106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Например, устанавливают, что на карте будут изображены все города и поселки городского типа, что дачные поселки будут показаны выборочно (частично), а поселки сельского типа совсем не будут отображены. При составлении же карты более мелкого масштаба может быть принято условие, что на карте отображаются населенные пункты только высшей категории — города.</w:t>
      </w:r>
    </w:p>
    <w:p w:rsidR="00032377" w:rsidRPr="000C58A1" w:rsidRDefault="00032377" w:rsidP="00032377">
      <w:pPr>
        <w:shd w:val="clear" w:color="auto" w:fill="FFFFFF"/>
        <w:ind w:left="19" w:right="72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Одной из важных задач картографирования населенных пунктов на обзорных мелкомасштабных картах служит характеристика заселенности территории. Решая эту задачу, стремятся отобразить на карте </w:t>
      </w:r>
      <w:r w:rsidRPr="000C58A1">
        <w:rPr>
          <w:color w:val="000000"/>
          <w:sz w:val="28"/>
          <w:szCs w:val="28"/>
        </w:rPr>
        <w:lastRenderedPageBreak/>
        <w:t>относительную густоту р</w:t>
      </w:r>
      <w:r>
        <w:rPr>
          <w:color w:val="000000"/>
          <w:sz w:val="28"/>
          <w:szCs w:val="28"/>
        </w:rPr>
        <w:t>азмещения населенных пунк</w:t>
      </w:r>
      <w:r w:rsidRPr="000C58A1">
        <w:rPr>
          <w:color w:val="000000"/>
          <w:sz w:val="28"/>
          <w:szCs w:val="28"/>
        </w:rPr>
        <w:t>тов по территории и различия этого показателя в разных районах. Для осуществления этой цели принципы и нормы отбора устанавливаются неодинаковыми для карты, изображающей территорию, неоднородную по экономическому развитию и культурной освоенности; в пределах территорий, развитых в промышленном отношении, осуществляют больший отбор, чем на малозаселенных территориях.</w:t>
      </w:r>
    </w:p>
    <w:p w:rsidR="00032377" w:rsidRPr="000C58A1" w:rsidRDefault="00032377" w:rsidP="00032377">
      <w:pPr>
        <w:shd w:val="clear" w:color="auto" w:fill="FFFFFF"/>
        <w:ind w:left="38" w:right="53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Если при составлении карты принять, что требуется нанести только города с населением более 30 тыс. жителей, то на площади густонаселенных высокоиндустриальных районов (европейской части) не хватит места для размещения пунсонов всех таких городов, обширные районы Севера и Востока будут выглядеть совсем незаселенными.</w:t>
      </w:r>
    </w:p>
    <w:p w:rsidR="00032377" w:rsidRDefault="00032377" w:rsidP="00032377">
      <w:pPr>
        <w:shd w:val="clear" w:color="auto" w:fill="FFFFFF"/>
        <w:ind w:left="53" w:right="53"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Таким образом, принципы отбора и нормы, отбираемых для отображения на карте населенных пунктов зависят не только от масштаба карты, но и от количества пунктов, приходящихся на единицу площади территории, и от того, какие типы населенных пунктов в данном районе преобладают.</w:t>
      </w:r>
    </w:p>
    <w:p w:rsidR="00032377" w:rsidRDefault="00032377" w:rsidP="00032377">
      <w:pPr>
        <w:shd w:val="clear" w:color="auto" w:fill="FFFFFF"/>
        <w:ind w:left="53" w:right="53" w:firstLine="851"/>
        <w:jc w:val="center"/>
        <w:rPr>
          <w:b/>
          <w:color w:val="000000"/>
          <w:sz w:val="28"/>
          <w:szCs w:val="28"/>
        </w:rPr>
      </w:pPr>
    </w:p>
    <w:p w:rsidR="00032377" w:rsidRPr="007035D6" w:rsidRDefault="00032377" w:rsidP="00032377">
      <w:pPr>
        <w:shd w:val="clear" w:color="auto" w:fill="FFFFFF"/>
        <w:ind w:left="53" w:right="53" w:firstLine="85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10.2</w:t>
      </w:r>
      <w:r w:rsidRPr="007035D6">
        <w:rPr>
          <w:b/>
          <w:color w:val="000000"/>
          <w:sz w:val="28"/>
          <w:szCs w:val="28"/>
        </w:rPr>
        <w:t xml:space="preserve"> Изображение путей сообщения</w:t>
      </w:r>
    </w:p>
    <w:p w:rsidR="00032377" w:rsidRPr="000C58A1" w:rsidRDefault="00032377" w:rsidP="00032377">
      <w:pPr>
        <w:shd w:val="clear" w:color="auto" w:fill="FFFFFF"/>
        <w:ind w:left="82" w:firstLine="851"/>
        <w:jc w:val="both"/>
        <w:rPr>
          <w:sz w:val="28"/>
          <w:szCs w:val="28"/>
        </w:rPr>
      </w:pPr>
    </w:p>
    <w:p w:rsidR="00032377" w:rsidRPr="000C58A1" w:rsidRDefault="00032377" w:rsidP="00032377">
      <w:pPr>
        <w:shd w:val="clear" w:color="auto" w:fill="FFFFFF"/>
        <w:ind w:left="77" w:right="24" w:firstLine="851"/>
        <w:jc w:val="both"/>
        <w:rPr>
          <w:sz w:val="28"/>
          <w:szCs w:val="28"/>
        </w:rPr>
      </w:pPr>
      <w:r w:rsidRPr="00595601">
        <w:rPr>
          <w:color w:val="000000"/>
          <w:sz w:val="28"/>
          <w:szCs w:val="28"/>
        </w:rPr>
        <w:t xml:space="preserve">Из существующих основных пяти видов путей сообщения — </w:t>
      </w:r>
      <w:r w:rsidRPr="00595601">
        <w:rPr>
          <w:iCs/>
          <w:color w:val="000000"/>
          <w:sz w:val="28"/>
          <w:szCs w:val="28"/>
        </w:rPr>
        <w:t>сухопутных, морских, речных, воздушных, трубопроводных</w:t>
      </w:r>
      <w:r w:rsidRPr="000C58A1">
        <w:rPr>
          <w:i/>
          <w:i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— на обзорных общегеографических картах изображают преимущественно три первых вида.</w:t>
      </w:r>
    </w:p>
    <w:p w:rsidR="00032377" w:rsidRPr="000C58A1" w:rsidRDefault="00032377" w:rsidP="00032377">
      <w:pPr>
        <w:shd w:val="clear" w:color="auto" w:fill="FFFFFF"/>
        <w:ind w:left="82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На обзорных общегеографических картах стремятся показать обеспеченность территории путями сообщения и структуру транспортной сети. Обычно в экономически развитых районах наряду с густой железнодорожной сетью имеется также много сухопутных автомобильных дорог разного класса. Но железнодорожный транспорт среди всех сухопутных видов дорог имеет главенствующее экономическое значение. Поэтому на обзорных картах в высокоразвитых районах при генерализации путей сообщения железнодорожную сеть показывают почти полностью, а автомобильные дороги — с большим отбором. В таких районах изображают из автодорог лишь важнейшие шоссейные. Таким образом, рассматривая участок карты с изображением густой железнодорожной сети, можно всегда считать, что данный район достаточно обеспечен и другими видами сухопутных дорог, хотя последние скупо представлены на карте.</w:t>
      </w:r>
    </w:p>
    <w:p w:rsidR="00032377" w:rsidRPr="000C58A1" w:rsidRDefault="00032377" w:rsidP="00032377">
      <w:pPr>
        <w:shd w:val="clear" w:color="auto" w:fill="FFFFFF"/>
        <w:ind w:left="178" w:right="29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 пределах территорий с малоразвитой железнодорожной сетью основной вид транспорта — автодороги, которые наиболее полно показаны на соответствующих участках карты.</w:t>
      </w:r>
    </w:p>
    <w:p w:rsidR="00032377" w:rsidRPr="00595601" w:rsidRDefault="00032377" w:rsidP="00032377">
      <w:pPr>
        <w:shd w:val="clear" w:color="auto" w:fill="FFFFFF"/>
        <w:ind w:right="14"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Но сухопутные дороги низших классов — </w:t>
      </w:r>
      <w:r w:rsidRPr="00595601">
        <w:rPr>
          <w:iCs/>
          <w:color w:val="000000"/>
          <w:sz w:val="28"/>
          <w:szCs w:val="28"/>
        </w:rPr>
        <w:t xml:space="preserve">проселочные, полевые </w:t>
      </w:r>
      <w:r w:rsidRPr="00595601">
        <w:rPr>
          <w:color w:val="000000"/>
          <w:sz w:val="28"/>
          <w:szCs w:val="28"/>
        </w:rPr>
        <w:t xml:space="preserve">и </w:t>
      </w:r>
      <w:r w:rsidRPr="00595601">
        <w:rPr>
          <w:iCs/>
          <w:color w:val="000000"/>
          <w:sz w:val="28"/>
          <w:szCs w:val="28"/>
        </w:rPr>
        <w:t xml:space="preserve">лесные </w:t>
      </w:r>
      <w:r w:rsidRPr="00595601">
        <w:rPr>
          <w:color w:val="000000"/>
          <w:sz w:val="28"/>
          <w:szCs w:val="28"/>
        </w:rPr>
        <w:t xml:space="preserve">на обзорных общегеографических картах обозначают редко. </w:t>
      </w:r>
      <w:proofErr w:type="gramStart"/>
      <w:r w:rsidRPr="00595601">
        <w:rPr>
          <w:color w:val="000000"/>
          <w:sz w:val="28"/>
          <w:szCs w:val="28"/>
        </w:rPr>
        <w:t xml:space="preserve">В легенде мелкомасштабных общегеографических карт сухопутные пути сообщения обычно подразделяют на крупные обобщенные группы с кратким определением каждой) </w:t>
      </w:r>
      <w:proofErr w:type="gramEnd"/>
    </w:p>
    <w:p w:rsidR="00032377" w:rsidRPr="00595601" w:rsidRDefault="00032377" w:rsidP="00032377">
      <w:pPr>
        <w:shd w:val="clear" w:color="auto" w:fill="FFFFFF"/>
        <w:ind w:right="48" w:firstLine="851"/>
        <w:jc w:val="both"/>
        <w:rPr>
          <w:sz w:val="28"/>
          <w:szCs w:val="28"/>
        </w:rPr>
      </w:pPr>
      <w:r w:rsidRPr="00595601">
        <w:rPr>
          <w:color w:val="000000"/>
          <w:sz w:val="28"/>
          <w:szCs w:val="28"/>
        </w:rPr>
        <w:lastRenderedPageBreak/>
        <w:t xml:space="preserve">На картах обзорных, в том числе самых мелкомасштабных, выделяют особые участки пути — </w:t>
      </w:r>
      <w:r w:rsidRPr="00595601">
        <w:rPr>
          <w:iCs/>
          <w:color w:val="000000"/>
          <w:sz w:val="28"/>
          <w:szCs w:val="28"/>
        </w:rPr>
        <w:t xml:space="preserve">горные перевалы, </w:t>
      </w:r>
      <w:r w:rsidRPr="00595601">
        <w:rPr>
          <w:color w:val="000000"/>
          <w:sz w:val="28"/>
          <w:szCs w:val="28"/>
        </w:rPr>
        <w:t>а также сооружа</w:t>
      </w:r>
      <w:r w:rsidRPr="00595601">
        <w:rPr>
          <w:color w:val="000000"/>
          <w:sz w:val="28"/>
          <w:szCs w:val="28"/>
        </w:rPr>
        <w:softHyphen/>
        <w:t xml:space="preserve">емые при пересечении горных поднятий </w:t>
      </w:r>
      <w:r w:rsidRPr="00595601">
        <w:rPr>
          <w:iCs/>
          <w:color w:val="000000"/>
          <w:sz w:val="28"/>
          <w:szCs w:val="28"/>
        </w:rPr>
        <w:t>тоннели.</w:t>
      </w:r>
    </w:p>
    <w:p w:rsidR="00032377" w:rsidRPr="00595601" w:rsidRDefault="00032377" w:rsidP="00032377">
      <w:pPr>
        <w:shd w:val="clear" w:color="auto" w:fill="FFFFFF"/>
        <w:ind w:right="48" w:firstLine="851"/>
        <w:jc w:val="both"/>
        <w:rPr>
          <w:sz w:val="28"/>
          <w:szCs w:val="28"/>
        </w:rPr>
      </w:pPr>
      <w:r w:rsidRPr="00595601">
        <w:rPr>
          <w:color w:val="000000"/>
          <w:sz w:val="28"/>
          <w:szCs w:val="28"/>
        </w:rPr>
        <w:t>При показе речного судоходства на обзорных общегеографических картах выделяют участки рек, на которых осуществляется движение грузопассажирских речных судов. О судоходстве рек можно судить также по изображению соединяющих их судоходных каналов.</w:t>
      </w:r>
    </w:p>
    <w:p w:rsidR="00032377" w:rsidRPr="000C58A1" w:rsidRDefault="00032377" w:rsidP="00032377">
      <w:pPr>
        <w:shd w:val="clear" w:color="auto" w:fill="FFFFFF"/>
        <w:ind w:right="48" w:firstLine="851"/>
        <w:jc w:val="both"/>
        <w:rPr>
          <w:sz w:val="28"/>
          <w:szCs w:val="28"/>
        </w:rPr>
      </w:pPr>
      <w:r w:rsidRPr="00595601">
        <w:rPr>
          <w:color w:val="000000"/>
          <w:sz w:val="28"/>
          <w:szCs w:val="28"/>
        </w:rPr>
        <w:t xml:space="preserve">На рассматриваемых картах изображают важнейшие </w:t>
      </w:r>
      <w:r w:rsidRPr="00595601">
        <w:rPr>
          <w:iCs/>
          <w:color w:val="000000"/>
          <w:sz w:val="28"/>
          <w:szCs w:val="28"/>
        </w:rPr>
        <w:t xml:space="preserve">морские порты </w:t>
      </w:r>
      <w:r w:rsidRPr="00595601">
        <w:rPr>
          <w:color w:val="000000"/>
          <w:sz w:val="28"/>
          <w:szCs w:val="28"/>
        </w:rPr>
        <w:t xml:space="preserve">и </w:t>
      </w:r>
      <w:r w:rsidRPr="00595601">
        <w:rPr>
          <w:iCs/>
          <w:color w:val="000000"/>
          <w:sz w:val="28"/>
          <w:szCs w:val="28"/>
        </w:rPr>
        <w:t xml:space="preserve">морские рейсы. </w:t>
      </w:r>
      <w:r w:rsidRPr="00595601">
        <w:rPr>
          <w:color w:val="000000"/>
          <w:sz w:val="28"/>
          <w:szCs w:val="28"/>
        </w:rPr>
        <w:t>Морские порты часто обозначают особым условным знаком (по форме напоминающим якорь), поставленным на карте рядом с пунсоном портового города. Морские пути изображают линейным</w:t>
      </w:r>
      <w:r w:rsidRPr="000C58A1">
        <w:rPr>
          <w:color w:val="000000"/>
          <w:sz w:val="28"/>
          <w:szCs w:val="28"/>
        </w:rPr>
        <w:t xml:space="preserve"> знаком, показывающим примерный путь кораблей между определенными портами.</w:t>
      </w:r>
    </w:p>
    <w:p w:rsidR="00032377" w:rsidRDefault="00032377" w:rsidP="00032377">
      <w:pPr>
        <w:shd w:val="clear" w:color="auto" w:fill="FFFFFF"/>
        <w:ind w:right="53"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Нередко вдоль условного знака морского пути указывают длину пути между конечными портами. Названия конечных пунктов морских путей подписывают над их знаками, в </w:t>
      </w:r>
      <w:proofErr w:type="gramStart"/>
      <w:r w:rsidRPr="000C58A1">
        <w:rPr>
          <w:color w:val="000000"/>
          <w:sz w:val="28"/>
          <w:szCs w:val="28"/>
        </w:rPr>
        <w:t>частности</w:t>
      </w:r>
      <w:proofErr w:type="gramEnd"/>
      <w:r w:rsidRPr="000C58A1">
        <w:rPr>
          <w:color w:val="000000"/>
          <w:sz w:val="28"/>
          <w:szCs w:val="28"/>
        </w:rPr>
        <w:t xml:space="preserve"> если они оказываются за пределами карты. Особым знаком обычно показывают пути и конечные пункты морских паромов.</w:t>
      </w:r>
    </w:p>
    <w:p w:rsidR="00032377" w:rsidRPr="000C58A1" w:rsidRDefault="00032377" w:rsidP="00032377">
      <w:pPr>
        <w:shd w:val="clear" w:color="auto" w:fill="FFFFFF"/>
        <w:ind w:right="53" w:firstLine="851"/>
        <w:jc w:val="both"/>
        <w:rPr>
          <w:sz w:val="28"/>
          <w:szCs w:val="28"/>
        </w:rPr>
      </w:pPr>
    </w:p>
    <w:p w:rsidR="00032377" w:rsidRPr="007035D6" w:rsidRDefault="00032377" w:rsidP="00032377">
      <w:pPr>
        <w:shd w:val="clear" w:color="auto" w:fill="FFFFFF"/>
        <w:ind w:left="197" w:hanging="55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>10.3</w:t>
      </w:r>
      <w:r w:rsidRPr="007035D6">
        <w:rPr>
          <w:b/>
          <w:color w:val="000000"/>
          <w:sz w:val="28"/>
          <w:szCs w:val="28"/>
        </w:rPr>
        <w:t xml:space="preserve"> Изображение политического и политико-административного деления территории</w:t>
      </w:r>
    </w:p>
    <w:p w:rsidR="00032377" w:rsidRPr="000C58A1" w:rsidRDefault="00032377" w:rsidP="00032377">
      <w:pPr>
        <w:shd w:val="clear" w:color="auto" w:fill="FFFFFF"/>
        <w:ind w:left="197" w:firstLine="851"/>
        <w:jc w:val="both"/>
        <w:rPr>
          <w:b/>
          <w:i/>
          <w:sz w:val="28"/>
          <w:szCs w:val="28"/>
        </w:rPr>
      </w:pPr>
    </w:p>
    <w:p w:rsidR="00032377" w:rsidRPr="000C58A1" w:rsidRDefault="00032377" w:rsidP="00032377">
      <w:pPr>
        <w:shd w:val="clear" w:color="auto" w:fill="FFFFFF"/>
        <w:ind w:right="53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Одна из задач всех общегеографических карт — отображение государственной принадлежности территории. Эта задача разрешается изображением государственных границ и подписями названий государств. Государственные границы показывают на обзорных картах линейным условным знаком с предельной для данного масштаба точностью с цветной окантовкой, на всем их протяжении на суше. Если граница совпадает с осевой </w:t>
      </w:r>
      <w:proofErr w:type="gramStart"/>
      <w:r w:rsidRPr="000C58A1">
        <w:rPr>
          <w:color w:val="000000"/>
          <w:sz w:val="28"/>
          <w:szCs w:val="28"/>
        </w:rPr>
        <w:t>линией</w:t>
      </w:r>
      <w:proofErr w:type="gramEnd"/>
      <w:r w:rsidRPr="000C58A1">
        <w:rPr>
          <w:color w:val="000000"/>
          <w:sz w:val="28"/>
          <w:szCs w:val="28"/>
        </w:rPr>
        <w:t xml:space="preserve"> изображенной на карте реки, то линейный условный знак границы, как и на топогра</w:t>
      </w:r>
      <w:r w:rsidRPr="000C58A1">
        <w:rPr>
          <w:color w:val="000000"/>
          <w:sz w:val="28"/>
          <w:szCs w:val="28"/>
        </w:rPr>
        <w:softHyphen/>
        <w:t>фических картах, проводят участками попеременно — то на правом, то на левом берегу. Вдоль морских берегов границы государств не изображают. Положение государственной границы в этом случае как бы указывает сам условный знак береговой линии моря.</w:t>
      </w:r>
    </w:p>
    <w:p w:rsidR="00032377" w:rsidRPr="000C58A1" w:rsidRDefault="00032377" w:rsidP="00032377">
      <w:pPr>
        <w:shd w:val="clear" w:color="auto" w:fill="FFFFFF"/>
        <w:ind w:right="62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Государственная граница может проходить по морю или в океане, разделяя острова или полуострова, принадлежащие соседним странам. В таких местах условный знак границы изображают отдельными небольшими участками. Если государству принадлежит группа удаленных от него островов, то название государства помещают на карте рядом с названием архипелага (острова).</w:t>
      </w:r>
    </w:p>
    <w:p w:rsidR="00032377" w:rsidRPr="000C58A1" w:rsidRDefault="00032377" w:rsidP="00032377">
      <w:pPr>
        <w:shd w:val="clear" w:color="auto" w:fill="FFFFFF"/>
        <w:ind w:left="10" w:right="53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На обзорных общегеографических картах всегда отображено также политико-административное деление государств. </w:t>
      </w:r>
    </w:p>
    <w:p w:rsidR="00032377" w:rsidRPr="000C58A1" w:rsidRDefault="00032377" w:rsidP="00032377">
      <w:pPr>
        <w:shd w:val="clear" w:color="auto" w:fill="FFFFFF"/>
        <w:ind w:left="29" w:right="43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Нередко на обзорных общегеографических картах отображают не существующие ныне, но имевшие значение в прошлом единицы политико-административного деления стран, например Бургундия, Бретань во Франции; Македон</w:t>
      </w:r>
      <w:r>
        <w:rPr>
          <w:color w:val="000000"/>
          <w:sz w:val="28"/>
          <w:szCs w:val="28"/>
        </w:rPr>
        <w:t>ия в Югославии и др. Эти истори</w:t>
      </w:r>
      <w:r w:rsidRPr="000C58A1">
        <w:rPr>
          <w:color w:val="000000"/>
          <w:sz w:val="28"/>
          <w:szCs w:val="28"/>
        </w:rPr>
        <w:t>ческие провинции и области обозначаются обычно подписями их названий без показа границ.</w:t>
      </w:r>
    </w:p>
    <w:p w:rsidR="00032377" w:rsidRPr="000C58A1" w:rsidRDefault="00032377" w:rsidP="00032377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lastRenderedPageBreak/>
        <w:t xml:space="preserve">На общегеографических картах обозначают также столицы и центры политико-административного деления государств </w:t>
      </w:r>
    </w:p>
    <w:p w:rsidR="00032377" w:rsidRPr="000C58A1" w:rsidRDefault="00032377" w:rsidP="00032377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Изучение содержания общегеографических карт позволяет решать задачи изучения местности по элементам, выполнить описания, сделать анализ содержания, но и решить ряд задач по составлению орографических схем, построению профиля.</w:t>
      </w:r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377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2377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1605</Words>
  <Characters>9155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2016-02-19T11:46:00Z</dcterms:created>
  <dcterms:modified xsi:type="dcterms:W3CDTF">2016-02-19T11:47:00Z</dcterms:modified>
</cp:coreProperties>
</file>